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47CA2BC3" w:rsidR="00B520D3" w:rsidRDefault="007C1CEB" w:rsidP="00227CC6">
            <w:pPr>
              <w:pStyle w:val="ad"/>
              <w:widowControl w:val="0"/>
              <w:spacing w:line="360" w:lineRule="auto"/>
            </w:pPr>
            <w:r>
              <w:t>Использование (применение) средств индивидуальной защиты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3EA8" w14:textId="77777777" w:rsidR="007F5F7A" w:rsidRDefault="007F5F7A">
      <w:r>
        <w:separator/>
      </w:r>
    </w:p>
  </w:endnote>
  <w:endnote w:type="continuationSeparator" w:id="0">
    <w:p w14:paraId="5377C7D0" w14:textId="77777777" w:rsidR="007F5F7A" w:rsidRDefault="007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E3AE" w14:textId="77777777" w:rsidR="007F5F7A" w:rsidRDefault="007F5F7A">
      <w:r>
        <w:separator/>
      </w:r>
    </w:p>
  </w:footnote>
  <w:footnote w:type="continuationSeparator" w:id="0">
    <w:p w14:paraId="3F616715" w14:textId="77777777" w:rsidR="007F5F7A" w:rsidRDefault="007F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7C1CEB"/>
    <w:rsid w:val="007F5F7A"/>
    <w:rsid w:val="00800F61"/>
    <w:rsid w:val="008C200A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